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6875F3BB" w14:textId="2EB8E32D" w:rsidR="00B53A27" w:rsidRPr="00936D55" w:rsidRDefault="0004240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042408">
              <w:rPr>
                <w:rFonts w:asciiTheme="minorHAnsi" w:hAnsiTheme="minorHAnsi" w:cstheme="minorHAnsi"/>
              </w:rPr>
              <w:t>Fomento a Micro, Pequeñas y Medianas Empresas Sinaloenses</w:t>
            </w:r>
          </w:p>
        </w:tc>
      </w:tr>
      <w:tr w:rsidR="00B53A27" w:rsidRPr="00936D55" w14:paraId="77CED2D0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5527ED7E" w14:textId="42EC3B64" w:rsidR="00B53A27" w:rsidRPr="00936D55" w:rsidRDefault="0026605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26605D">
              <w:rPr>
                <w:rFonts w:asciiTheme="minorHAnsi" w:hAnsiTheme="minorHAnsi" w:cstheme="minorHAnsi"/>
              </w:rPr>
              <w:t>Secretaría de Economía (SE)</w:t>
            </w:r>
          </w:p>
        </w:tc>
      </w:tr>
      <w:tr w:rsidR="00B53A27" w:rsidRPr="00936D55" w14:paraId="0D97458B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75BA77EA" w14:textId="5A659FCB" w:rsidR="00B53A27" w:rsidRPr="00936D55" w:rsidRDefault="0026605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26605D">
              <w:rPr>
                <w:rFonts w:asciiTheme="minorHAnsi" w:hAnsiTheme="minorHAnsi" w:cstheme="minorHAnsi"/>
              </w:rPr>
              <w:t>Dirección de la Micro, Pequeña y Mediana Empresa</w:t>
            </w:r>
          </w:p>
        </w:tc>
      </w:tr>
      <w:tr w:rsidR="00B53A27" w:rsidRPr="00936D55" w14:paraId="5D32DA8A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48B830BF" w14:textId="68BE7F11" w:rsidR="00B53A27" w:rsidRPr="00936D55" w:rsidRDefault="0026605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Consistencia y Resultados</w:t>
            </w:r>
          </w:p>
        </w:tc>
      </w:tr>
      <w:tr w:rsidR="00B53A27" w:rsidRPr="00936D55" w14:paraId="5AC1B1FE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4F5A6AD8" w14:textId="6F8AE37A" w:rsidR="00B53A27" w:rsidRPr="00936D55" w:rsidRDefault="0026605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511C17">
        <w:trPr>
          <w:trHeight w:val="340"/>
        </w:trPr>
        <w:tc>
          <w:tcPr>
            <w:tcW w:w="9355" w:type="dxa"/>
            <w:shd w:val="clear" w:color="auto" w:fill="661C33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885C14">
        <w:trPr>
          <w:trHeight w:val="886"/>
          <w:tblHeader/>
        </w:trPr>
        <w:tc>
          <w:tcPr>
            <w:tcW w:w="1942" w:type="dxa"/>
            <w:shd w:val="clear" w:color="auto" w:fill="661C33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661C33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661C33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61C33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885C14" w:rsidRPr="00936D55" w14:paraId="3F02C46D" w14:textId="77777777" w:rsidTr="005128E0">
        <w:tc>
          <w:tcPr>
            <w:tcW w:w="1942" w:type="dxa"/>
            <w:vAlign w:val="center"/>
          </w:tcPr>
          <w:p w14:paraId="70425297" w14:textId="27D32131" w:rsidR="00885C14" w:rsidRPr="006F0C5A" w:rsidRDefault="00885C14" w:rsidP="00885C1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885C14" w:rsidRPr="006F0C5A" w:rsidRDefault="00885C14" w:rsidP="00885C1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5375AAD8" w:rsidR="00885C14" w:rsidRPr="006F0C5A" w:rsidRDefault="00885C14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La calidad de las metas es baja, siendo fácilmente rebasadas por la capacidad operativa (ej. 167.56% en Propósito).</w:t>
            </w:r>
          </w:p>
        </w:tc>
        <w:tc>
          <w:tcPr>
            <w:tcW w:w="2753" w:type="dxa"/>
            <w:vAlign w:val="center"/>
          </w:tcPr>
          <w:p w14:paraId="5A8AE607" w14:textId="641CFE7A" w:rsidR="00885C14" w:rsidRPr="006F0C5A" w:rsidRDefault="004D145E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El sobrecumplimiento del 167% derivó de una demanda superior a la proyectada; se identifica la necesidad de recalibrar los algoritmos de planeación para establecer metas que reflejen la capacidad operativa real del programa.</w:t>
            </w:r>
          </w:p>
        </w:tc>
        <w:tc>
          <w:tcPr>
            <w:tcW w:w="2303" w:type="dxa"/>
            <w:vAlign w:val="center"/>
          </w:tcPr>
          <w:p w14:paraId="1DA7876B" w14:textId="603F0048" w:rsidR="00885C14" w:rsidRPr="006F0C5A" w:rsidRDefault="00885C14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Ajustar la meta de cobertura (Propósito) para ejercicios futuros para que sea retadora (no superar el 115% sistemáticamente).</w:t>
            </w:r>
          </w:p>
        </w:tc>
      </w:tr>
      <w:tr w:rsidR="00885C14" w:rsidRPr="00936D55" w14:paraId="4D3DAD0C" w14:textId="77777777" w:rsidTr="005128E0">
        <w:tc>
          <w:tcPr>
            <w:tcW w:w="1942" w:type="dxa"/>
            <w:vAlign w:val="center"/>
          </w:tcPr>
          <w:p w14:paraId="6EBB4888" w14:textId="77777777" w:rsidR="00885C14" w:rsidRPr="006F0C5A" w:rsidRDefault="00885C14" w:rsidP="00885C1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885C14" w:rsidRPr="006F0C5A" w:rsidRDefault="00885C14" w:rsidP="00885C1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6427F79C" w:rsidR="00885C14" w:rsidRPr="006F0C5A" w:rsidRDefault="00885C14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No se identificó ni se cuantificó la población atendida del Pp.</w:t>
            </w:r>
          </w:p>
        </w:tc>
        <w:tc>
          <w:tcPr>
            <w:tcW w:w="2753" w:type="dxa"/>
            <w:vAlign w:val="center"/>
          </w:tcPr>
          <w:p w14:paraId="36B3706E" w14:textId="2D6DED12" w:rsidR="00885C14" w:rsidRPr="006F0C5A" w:rsidRDefault="004D145E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La Dependencia reconoce la importancia de segmentar formalmente la población atendida. Si bien se cuenta con un padrón de beneficiarios, se trabajará en la integración de una metodología que permita cuantificar y caracterizar este grupo de manera específica en el diagnóstico.</w:t>
            </w:r>
          </w:p>
        </w:tc>
        <w:tc>
          <w:tcPr>
            <w:tcW w:w="2303" w:type="dxa"/>
            <w:vAlign w:val="center"/>
          </w:tcPr>
          <w:p w14:paraId="1CED0DF8" w14:textId="6BFAAB09" w:rsidR="00885C14" w:rsidRPr="006F0C5A" w:rsidRDefault="00885C14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Identificar, definir y cuantificar la población atendida del Pp.</w:t>
            </w:r>
          </w:p>
        </w:tc>
      </w:tr>
      <w:tr w:rsidR="00885C14" w:rsidRPr="00936D55" w14:paraId="6202F808" w14:textId="77777777" w:rsidTr="005128E0">
        <w:tc>
          <w:tcPr>
            <w:tcW w:w="1942" w:type="dxa"/>
            <w:vAlign w:val="center"/>
          </w:tcPr>
          <w:p w14:paraId="2FCCAB4C" w14:textId="77777777" w:rsidR="00885C14" w:rsidRPr="006F0C5A" w:rsidRDefault="00885C14" w:rsidP="00885C1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885C14" w:rsidRPr="006F0C5A" w:rsidRDefault="00885C14" w:rsidP="00885C1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6C52FF06" w:rsidR="00885C14" w:rsidRPr="006F0C5A" w:rsidRDefault="00885C14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Los medios de verificación de los indicadores de la MIR no cumplen con todos los criterios de valoración.</w:t>
            </w:r>
          </w:p>
        </w:tc>
        <w:tc>
          <w:tcPr>
            <w:tcW w:w="2753" w:type="dxa"/>
            <w:vAlign w:val="center"/>
          </w:tcPr>
          <w:p w14:paraId="740FC487" w14:textId="05CC8819" w:rsidR="00885C14" w:rsidRPr="006F0C5A" w:rsidRDefault="004D145E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Se iniciará un proceso de mejora para asegurar que cada medio de verificación cumpla con los atributos de claridad, relevancia y monitoreo.</w:t>
            </w:r>
          </w:p>
        </w:tc>
        <w:tc>
          <w:tcPr>
            <w:tcW w:w="2303" w:type="dxa"/>
            <w:vAlign w:val="center"/>
          </w:tcPr>
          <w:p w14:paraId="1BF35B51" w14:textId="0A807328" w:rsidR="00885C14" w:rsidRPr="006F0C5A" w:rsidRDefault="00885C14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Revisar y redefinir los medios de verificación de los indicadores de la MIR.</w:t>
            </w:r>
          </w:p>
        </w:tc>
      </w:tr>
      <w:tr w:rsidR="00885C14" w:rsidRPr="00936D55" w14:paraId="7C431E57" w14:textId="77777777" w:rsidTr="005128E0">
        <w:tc>
          <w:tcPr>
            <w:tcW w:w="1942" w:type="dxa"/>
            <w:vAlign w:val="center"/>
          </w:tcPr>
          <w:p w14:paraId="2F3E1A0B" w14:textId="77777777" w:rsidR="008E765F" w:rsidRPr="006F0C5A" w:rsidRDefault="008E765F" w:rsidP="008E765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431F11D" w14:textId="3BFD7117" w:rsidR="00885C14" w:rsidRPr="006F0C5A" w:rsidRDefault="008E765F" w:rsidP="008E765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3AFBE391" w14:textId="470E83D6" w:rsidR="00885C14" w:rsidRPr="006F0C5A" w:rsidRDefault="00885C14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El Nivel Fin (crecimiento económico de MIPYMES) muestra un resultado insatisfactorio (-4.15%), indicando que la intervención no está logrando el impacto superior esperado.</w:t>
            </w:r>
          </w:p>
        </w:tc>
        <w:tc>
          <w:tcPr>
            <w:tcW w:w="2753" w:type="dxa"/>
            <w:vAlign w:val="center"/>
          </w:tcPr>
          <w:p w14:paraId="6C55F93B" w14:textId="24DFE9B5" w:rsidR="00885C14" w:rsidRPr="006F0C5A" w:rsidRDefault="004D145E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Se coincide en que un Plan Específico de Seguimiento es necesario para aislar el efecto de la intervención frente a otras variables económicas.</w:t>
            </w:r>
          </w:p>
        </w:tc>
        <w:tc>
          <w:tcPr>
            <w:tcW w:w="2303" w:type="dxa"/>
            <w:vAlign w:val="center"/>
          </w:tcPr>
          <w:p w14:paraId="3947382E" w14:textId="7CCE74CF" w:rsidR="00885C14" w:rsidRPr="006F0C5A" w:rsidRDefault="00885C14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Diseñar un Plan Específico de Seguimiento de Largo Plazo que mida el impacto en variables económicas para verificar la causalidad.</w:t>
            </w:r>
          </w:p>
        </w:tc>
      </w:tr>
      <w:tr w:rsidR="00885C14" w:rsidRPr="00936D55" w14:paraId="76B67FF3" w14:textId="77777777" w:rsidTr="005128E0">
        <w:tc>
          <w:tcPr>
            <w:tcW w:w="1942" w:type="dxa"/>
            <w:vAlign w:val="center"/>
          </w:tcPr>
          <w:p w14:paraId="04E85993" w14:textId="77777777" w:rsidR="008E765F" w:rsidRPr="006F0C5A" w:rsidRDefault="008E765F" w:rsidP="008E765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B944B06" w14:textId="61199A97" w:rsidR="00885C14" w:rsidRPr="006F0C5A" w:rsidRDefault="008E765F" w:rsidP="008E765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130F0B4F" w14:textId="7596D521" w:rsidR="00885C14" w:rsidRPr="006F0C5A" w:rsidRDefault="00885C14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 xml:space="preserve">Dependencia de factores externos (convocatorias IMPI, requisitos comerciales) que limitan </w:t>
            </w:r>
            <w:r w:rsidRPr="006F0C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la ejecución </w:t>
            </w:r>
            <w:r w:rsidR="00AF37B5" w:rsidRPr="006F0C5A">
              <w:rPr>
                <w:rFonts w:asciiTheme="minorHAnsi" w:hAnsiTheme="minorHAnsi" w:cstheme="minorHAnsi"/>
                <w:sz w:val="20"/>
                <w:szCs w:val="20"/>
              </w:rPr>
              <w:t>continua,</w:t>
            </w: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 xml:space="preserve"> lo que contribuye a la alta subejecución presupuestal.</w:t>
            </w:r>
          </w:p>
        </w:tc>
        <w:tc>
          <w:tcPr>
            <w:tcW w:w="2753" w:type="dxa"/>
            <w:vAlign w:val="center"/>
          </w:tcPr>
          <w:p w14:paraId="43319F47" w14:textId="62C0F3DA" w:rsidR="00885C14" w:rsidRPr="006F0C5A" w:rsidRDefault="004D145E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La Dependencia ve viable y necesaria la creación de un esquema de operación directa </w:t>
            </w:r>
            <w:r w:rsidRPr="006F0C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que garantice el servicio constante a las MiPymes.</w:t>
            </w:r>
          </w:p>
        </w:tc>
        <w:tc>
          <w:tcPr>
            <w:tcW w:w="2303" w:type="dxa"/>
            <w:vAlign w:val="center"/>
          </w:tcPr>
          <w:p w14:paraId="61B84EDE" w14:textId="17641AA5" w:rsidR="00885C14" w:rsidRPr="006F0C5A" w:rsidRDefault="00885C14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Implementar un mecanismo de operación continua del subsidio propio para Registro de </w:t>
            </w:r>
            <w:r w:rsidRPr="006F0C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Marca y otros trámites, sin depender de calendarios externos.</w:t>
            </w:r>
          </w:p>
        </w:tc>
      </w:tr>
      <w:tr w:rsidR="00885C14" w:rsidRPr="00936D55" w14:paraId="0272ECCF" w14:textId="77777777" w:rsidTr="005128E0">
        <w:tc>
          <w:tcPr>
            <w:tcW w:w="1942" w:type="dxa"/>
            <w:vAlign w:val="center"/>
          </w:tcPr>
          <w:p w14:paraId="2E4C735D" w14:textId="77777777" w:rsidR="008E765F" w:rsidRPr="006F0C5A" w:rsidRDefault="008E765F" w:rsidP="008E765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289AFCE6" w14:textId="06D44D20" w:rsidR="00885C14" w:rsidRPr="006F0C5A" w:rsidRDefault="008E765F" w:rsidP="008E765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5CE4CDF5" w14:textId="657208C7" w:rsidR="00885C14" w:rsidRPr="006F0C5A" w:rsidRDefault="00885C14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El Pp solo alcanza el Nivel 2 en la documentación de medios de verificación, ya que no especifican el año de emisión o la liga electrónica de todos los documentos fuente.</w:t>
            </w:r>
          </w:p>
        </w:tc>
        <w:tc>
          <w:tcPr>
            <w:tcW w:w="2753" w:type="dxa"/>
            <w:vAlign w:val="center"/>
          </w:tcPr>
          <w:p w14:paraId="50BE1801" w14:textId="5BEF28E2" w:rsidR="00885C14" w:rsidRPr="006F0C5A" w:rsidRDefault="004D145E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La Dependencia está comprometida con el Gobierno Abierto. Se acepta la observación para transitar del Nivel 2 a la excelencia, asegurando que todos los soportes documentales tengan una ruta de acceso digital directa y actualizada.</w:t>
            </w:r>
          </w:p>
        </w:tc>
        <w:tc>
          <w:tcPr>
            <w:tcW w:w="2303" w:type="dxa"/>
            <w:vAlign w:val="center"/>
          </w:tcPr>
          <w:p w14:paraId="27ABBCB3" w14:textId="765EDFB7" w:rsidR="00885C14" w:rsidRPr="006F0C5A" w:rsidRDefault="00885C14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Actualizar las Fichas Técnicas de Indicadores para incluir la liga directa o repositorio institucional para cada medio de verificación.</w:t>
            </w:r>
          </w:p>
        </w:tc>
      </w:tr>
      <w:tr w:rsidR="00885C14" w:rsidRPr="00936D55" w14:paraId="6D575063" w14:textId="77777777" w:rsidTr="005128E0">
        <w:tc>
          <w:tcPr>
            <w:tcW w:w="1942" w:type="dxa"/>
            <w:vAlign w:val="center"/>
          </w:tcPr>
          <w:p w14:paraId="199F89DD" w14:textId="77777777" w:rsidR="008E765F" w:rsidRPr="006F0C5A" w:rsidRDefault="008E765F" w:rsidP="008E765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7847237" w14:textId="2F33242A" w:rsidR="00885C14" w:rsidRPr="006F0C5A" w:rsidRDefault="008E765F" w:rsidP="008E765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6F1E8052" w14:textId="62C7B566" w:rsidR="00885C14" w:rsidRPr="006F0C5A" w:rsidRDefault="00885C14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Falta de un instrumento formal para medir la satisfacción de la población atendida (Nivel 0 en Preg. 39).</w:t>
            </w:r>
          </w:p>
        </w:tc>
        <w:tc>
          <w:tcPr>
            <w:tcW w:w="2753" w:type="dxa"/>
            <w:vAlign w:val="center"/>
          </w:tcPr>
          <w:p w14:paraId="002DA98D" w14:textId="791E775A" w:rsidR="00885C14" w:rsidRPr="006F0C5A" w:rsidRDefault="00AD1E65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Aunque existe cercanía con el usuario, se carece de un método estandarizado que transforme la percepción ciudadana en datos estadísticamente válidos.</w:t>
            </w:r>
          </w:p>
        </w:tc>
        <w:tc>
          <w:tcPr>
            <w:tcW w:w="2303" w:type="dxa"/>
            <w:vAlign w:val="center"/>
          </w:tcPr>
          <w:p w14:paraId="72CE3F17" w14:textId="30B95D07" w:rsidR="00885C14" w:rsidRPr="006F0C5A" w:rsidRDefault="00885C14" w:rsidP="008E76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0C5A">
              <w:rPr>
                <w:rFonts w:asciiTheme="minorHAnsi" w:hAnsiTheme="minorHAnsi" w:cstheme="minorHAnsi"/>
                <w:sz w:val="20"/>
                <w:szCs w:val="20"/>
              </w:rPr>
              <w:t>Formalizar una Cédula de Satisfacción de Servicio con metodología de muestreo definida para transformar las observaciones informales en datos válidos.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511C17">
        <w:trPr>
          <w:trHeight w:val="340"/>
        </w:trPr>
        <w:tc>
          <w:tcPr>
            <w:tcW w:w="9215" w:type="dxa"/>
            <w:shd w:val="clear" w:color="auto" w:fill="661C33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ED0D25E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885C14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8C702A" w:rsidRPr="00885C14">
        <w:rPr>
          <w:rFonts w:asciiTheme="minorHAnsi" w:hAnsiTheme="minorHAnsi" w:cstheme="minorHAnsi"/>
          <w:sz w:val="20"/>
          <w:szCs w:val="24"/>
        </w:rPr>
        <w:t>Consistencia y Resultados</w:t>
      </w:r>
      <w:r w:rsidRPr="00885C14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511C17">
        <w:trPr>
          <w:trHeight w:val="340"/>
        </w:trPr>
        <w:tc>
          <w:tcPr>
            <w:tcW w:w="9355" w:type="dxa"/>
            <w:shd w:val="clear" w:color="auto" w:fill="661C33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2F6D63DC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Se cuenta con diagnóstico donde se presenta el problema o necesidad pública que justifica el diseño del Pp.</w:t>
      </w:r>
    </w:p>
    <w:p w14:paraId="129CB236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Marco Lógico y los objetivos (Fin/Propósito) son relevantes y claros y están alineados con el PED 2022-2027.</w:t>
      </w:r>
    </w:p>
    <w:p w14:paraId="206D7971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cuenta con un árbol del problema, árbol de objetivos, selección de alternativas.</w:t>
      </w:r>
    </w:p>
    <w:p w14:paraId="22D8A3E4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se encuentra alineado al PED, Plan Sectorial y a la Agenda 2030.</w:t>
      </w:r>
    </w:p>
    <w:p w14:paraId="6C143260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definió y cuantificó la población potencial y objetivo del Pp.</w:t>
      </w:r>
    </w:p>
    <w:p w14:paraId="5DDD70D4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cuenta con un padrón de beneficiarios donde incorpora un conjunto amplio y detallado de características de la población atendida.</w:t>
      </w:r>
    </w:p>
    <w:p w14:paraId="133E5AD9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identifica como sí existe evidencia sobre su contribución a la reducción de las brechas de desigualdad de género a través de los padrones de beneficiarios.</w:t>
      </w:r>
    </w:p>
    <w:p w14:paraId="5A2FE489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cuenta con una MIR, así como con sus fichas técnicas de los indicadores.</w:t>
      </w:r>
    </w:p>
    <w:p w14:paraId="7A5F5453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cuenta con un plan estratégico que se desprende del PED 2022 – 2027.</w:t>
      </w:r>
    </w:p>
    <w:p w14:paraId="3632FE52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cuenta con un POA que cumple con todas las características.</w:t>
      </w:r>
    </w:p>
    <w:p w14:paraId="5D536787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lastRenderedPageBreak/>
        <w:t>El Pp cuenta con mecanismos de transparencia y rendición de cuentas a través de los cuales pone a disposición del público la información del Pp.</w:t>
      </w:r>
    </w:p>
    <w:p w14:paraId="63B79AC8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utiliza información derivada de análisis externos.</w:t>
      </w:r>
    </w:p>
    <w:p w14:paraId="15B9C459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obtuvo un 100% en el cumplimiento de los ASM.</w:t>
      </w:r>
    </w:p>
    <w:p w14:paraId="12AE4E12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La Población Potencial/Objetivo está correctamente identificada y cuantificada con metodología (INEGI/DEMUE), superando debilidades de años anteriores.</w:t>
      </w:r>
    </w:p>
    <w:p w14:paraId="43F5C3CF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cuenta con los elementos técnicos y documentales que conforman la estrategia de cobertura.</w:t>
      </w:r>
    </w:p>
    <w:p w14:paraId="4665A9AD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cuenta con las ROP del Pp.</w:t>
      </w:r>
    </w:p>
    <w:p w14:paraId="452B24A5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Los procedimientos de solicitud, elegibilidad, y entrega son estandarizados, homogéneos y públicos.</w:t>
      </w:r>
    </w:p>
    <w:p w14:paraId="23299CC5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Los sistemas de información (CRM/Padrones) están integrados y sistematizados , y la información se publica trimestralmente en la PNT.</w:t>
      </w:r>
    </w:p>
    <w:p w14:paraId="0E6FE858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cuenta con diagramas PEPSU y de flujo sobre los procesos clave</w:t>
      </w:r>
    </w:p>
    <w:p w14:paraId="763122FA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cuenta con mecanismos para fomentar los principios de gobierno abierto, la participación ciudadana, la accesibilidad y la innovación tecnológica.</w:t>
      </w:r>
    </w:p>
    <w:p w14:paraId="7F8991BB" w14:textId="5617B4B3" w:rsid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está sujeto a evaluación externa y cuenta con infraestructura (modelo causal, seguimiento) para documentar efectos.</w:t>
      </w:r>
    </w:p>
    <w:p w14:paraId="7290267B" w14:textId="1A8871FC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La calidad de las metas es baja, siendo fácilmente rebasadas por la capacidad operativa (ej. 167.56% en Propósito).</w:t>
      </w:r>
    </w:p>
    <w:p w14:paraId="1F212AC1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No se identificó ni se cuantificó la población atendida del Pp.</w:t>
      </w:r>
    </w:p>
    <w:p w14:paraId="56720182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Los medios de verificación de los indicadores de la MIR no cumplen con todos los criterios de valoración.</w:t>
      </w:r>
    </w:p>
    <w:p w14:paraId="6EB0B86F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Nivel Fin (crecimiento económico de MIPYMES) muestra un resultado insatisfactorio (-4.15%), indicando que la intervención no está logrando el impacto superior esperado.</w:t>
      </w:r>
    </w:p>
    <w:p w14:paraId="0CA05CDC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Dependencia de factores externos (convocatorias IMPI, requisitos comerciales) que limitan la ejecución continua , lo que contribuye a la alta subejecución presupuestal.</w:t>
      </w:r>
    </w:p>
    <w:p w14:paraId="7F171200" w14:textId="77777777" w:rsidR="00885C14" w:rsidRPr="00885C14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El Pp solo alcanza el Nivel 2 en la documentación de medios de verificación, ya que no especifican el año de emisión o la liga electrónica de todos los documentos fuente.</w:t>
      </w:r>
    </w:p>
    <w:p w14:paraId="6B9F82CA" w14:textId="331A7F0A" w:rsidR="00B875B8" w:rsidRPr="00ED12C1" w:rsidRDefault="00885C14" w:rsidP="00885C1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85C14">
        <w:rPr>
          <w:rFonts w:asciiTheme="minorHAnsi" w:hAnsiTheme="minorHAnsi" w:cstheme="minorHAnsi"/>
          <w:sz w:val="20"/>
          <w:szCs w:val="20"/>
        </w:rPr>
        <w:t>Falta de un instrumento formal para medir la satisfacción de la población atendida (Nivel 0 en Preg. 39).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711A5189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885C14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4349" w14:textId="77777777" w:rsidR="002F2823" w:rsidRDefault="002F2823" w:rsidP="008E5209">
      <w:pPr>
        <w:spacing w:after="0" w:line="240" w:lineRule="auto"/>
      </w:pPr>
      <w:r>
        <w:separator/>
      </w:r>
    </w:p>
  </w:endnote>
  <w:endnote w:type="continuationSeparator" w:id="0">
    <w:p w14:paraId="557175D6" w14:textId="77777777" w:rsidR="002F2823" w:rsidRDefault="002F2823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7C14" w14:textId="77777777" w:rsidR="002F2823" w:rsidRDefault="002F2823" w:rsidP="008E5209">
      <w:pPr>
        <w:spacing w:after="0" w:line="240" w:lineRule="auto"/>
      </w:pPr>
      <w:r>
        <w:separator/>
      </w:r>
    </w:p>
  </w:footnote>
  <w:footnote w:type="continuationSeparator" w:id="0">
    <w:p w14:paraId="47F191FD" w14:textId="77777777" w:rsidR="002F2823" w:rsidRDefault="002F2823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511C17" w:rsidRDefault="00B53A27" w:rsidP="00B53A27">
    <w:pPr>
      <w:ind w:left="3828"/>
      <w:jc w:val="right"/>
      <w:rPr>
        <w:rFonts w:ascii="Medium" w:hAnsi="Medium" w:cs="Arial"/>
        <w:b/>
        <w:color w:val="661C33"/>
        <w:sz w:val="26"/>
        <w:szCs w:val="26"/>
      </w:rPr>
    </w:pPr>
    <w:r w:rsidRPr="00511C17">
      <w:rPr>
        <w:rFonts w:ascii="Medium" w:hAnsi="Medium" w:cs="Arial"/>
        <w:b/>
        <w:noProof/>
        <w:color w:val="661C33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1C17">
      <w:rPr>
        <w:rFonts w:ascii="Medium" w:hAnsi="Medium" w:cs="Arial"/>
        <w:b/>
        <w:color w:val="661C33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394531">
    <w:abstractNumId w:val="0"/>
  </w:num>
  <w:num w:numId="2" w16cid:durableId="1947535392">
    <w:abstractNumId w:val="1"/>
  </w:num>
  <w:num w:numId="3" w16cid:durableId="990060266">
    <w:abstractNumId w:val="3"/>
  </w:num>
  <w:num w:numId="4" w16cid:durableId="728309053">
    <w:abstractNumId w:val="2"/>
  </w:num>
  <w:num w:numId="5" w16cid:durableId="12728623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42408"/>
    <w:rsid w:val="00051957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05D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2823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04B7D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145E"/>
    <w:rsid w:val="004D31EC"/>
    <w:rsid w:val="004E5966"/>
    <w:rsid w:val="004F1261"/>
    <w:rsid w:val="0050641D"/>
    <w:rsid w:val="00510CF9"/>
    <w:rsid w:val="00511C17"/>
    <w:rsid w:val="005128E0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2EAA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0C5A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17F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85C14"/>
    <w:rsid w:val="008905B0"/>
    <w:rsid w:val="00890761"/>
    <w:rsid w:val="0089750B"/>
    <w:rsid w:val="008A0BCB"/>
    <w:rsid w:val="008A0CB2"/>
    <w:rsid w:val="008C702A"/>
    <w:rsid w:val="008D08A8"/>
    <w:rsid w:val="008D2433"/>
    <w:rsid w:val="008E3483"/>
    <w:rsid w:val="008E5209"/>
    <w:rsid w:val="008E765F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9F515E"/>
    <w:rsid w:val="00A0130B"/>
    <w:rsid w:val="00A04C74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1E65"/>
    <w:rsid w:val="00AD4878"/>
    <w:rsid w:val="00AE0BD1"/>
    <w:rsid w:val="00AE4E69"/>
    <w:rsid w:val="00AE5C01"/>
    <w:rsid w:val="00AF37B5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66D5A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25D5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1124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16</cp:revision>
  <cp:lastPrinted>2026-04-14T18:24:00Z</cp:lastPrinted>
  <dcterms:created xsi:type="dcterms:W3CDTF">2022-12-15T17:02:00Z</dcterms:created>
  <dcterms:modified xsi:type="dcterms:W3CDTF">2026-04-14T18:24:00Z</dcterms:modified>
</cp:coreProperties>
</file>